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70</w:t>
      </w:r>
    </w:p>
    <w:p>
      <w:r>
        <w:t>Bundesgericht (BGE), 1993-05-05, DE</w:t>
      </w:r>
    </w:p>
    <w:p>
      <w:r>
        <w:rPr>
          <w:b/>
        </w:rPr>
        <w:t xml:space="preserve">Quelle: </w:t>
      </w:r>
      <w:r>
        <w:t>https://mcp.opencaselaw.ch/entscheid/bge_119 III 70</w:t>
      </w:r>
    </w:p>
    <w:p>
      <w:r>
        <w:t>FR: ATF 119 III 70</w:t>
      </w:r>
    </w:p>
    <w:p>
      <w:r>
        <w:t>IT: DTF 119 III 70</w:t>
      </w:r>
    </w:p>
    <w:p>
      <w:pPr>
        <w:pStyle w:val="Heading2"/>
      </w:pPr>
      <w:r>
        <w:t>Regeste</w:t>
      </w:r>
    </w:p>
    <w:p>
      <w:r>
        <w:t>Regeste Lohnpfändung (Art. 93 SchKG, Art. 19 SchKG, Art. 79 Abs. 1 OG und Art. 84 Abs. 1 lit. a OG). 1. Der Schuldner ist gegenüber dem Betreibungsamt zur Mitwirkung bei der von Amtes wegen zu erfolgenden Feststellung seines Existenzminimums verpflichtet, womit er allfällige Beweismittel bereits anlässlich der Pfändung und nicht erst vor Bundesgericht anzugeben hat (E. 1). 2. Mit dem Rekurs nach Art. 19 SchKG kann einzig die Missachtung von Bundesrecht mit Einschluss von Staatsverträgen des Bundes vorgebracht werden; die Verletzung verfassungsmässiger Rechte ist hingegen mit staatsrechtlicher Beschwerde zu rügen (E. 2). 3. Bei der Berechnung des Existenzminimums können die Kosten für die Privatschule der Kinder nicht und die Wohnkosten des Schuldners nur entsprechend seiner familiären Situation und den ortsüblichen Ansätzen berücksichtigt werden; in beiden Fällen ist dem Schuldner der zur Anpassung dieser Auslagen angemessene Zeitraum zuzugestehen (E. 3a-d).</w:t>
      </w:r>
    </w:p>
    <w:p>
      <w:pPr>
        <w:pStyle w:val="Heading2"/>
      </w:pPr>
      <w:r>
        <w:t>Erwägungen</w:t>
      </w:r>
    </w:p>
    <w:p>
      <w:r>
        <w:rPr>
          <w:b/>
        </w:rPr>
        <w:t>E. 1</w:t>
      </w:r>
    </w:p>
    <w:p>
      <w:r>
        <w:t>Der Betreibungsbeamte hat die tatsächlichen Verhältnisse, die zur Ermittlung des pfändbaren Erwerbseinkommens nötig sind, von Amtes wegen abzuklären. Dies bedeutet jedoch nicht, dass der Schuldner hier von jeder Mitwirkungspflicht befreit ist. Es obliegt BGE 119 III 70 S. 72 ihm im Gegenteil, die Behörde über die wesentlichen Tatsachen zu unterrichten und die ihm zugänglichen Beweise anzugeben ( BGE 112 III 80 E. 2; BGE 112 III 21 E. 2d); dies hat bereits anlässlich der Pfändung und nicht erst im anschliessenden Beschwerdeverfahren zu geschehen, wie der Rekurrent sich dies anscheinend vorstellt. Soweit die kantonalen Behörden den massgeblichen Sachverhalt genügend abgeklärt und für das Bundesgericht verbindlich festgestellt haben, besteht kein Grund, die Angelegenheit zur Vervollständigung des Sachverhaltes an die kantonale Aufsichtsbehörde zurückzuweisen, noch ist dem Rekurrenten Gelegenheit zu geben, das von ihm erst vor Bundesgericht angebotene schulpsychologische Gutachten beizubringen ( Art. 79 Abs. 1 OG ).</w:t>
      </w:r>
    </w:p>
    <w:p>
      <w:r>
        <w:rPr>
          <w:b/>
        </w:rPr>
        <w:t>E. 2</w:t>
      </w:r>
    </w:p>
    <w:p>
      <w:r>
        <w:t>Mit dem Rekurs nach Art. 19 SchKG kann einzig geltend gemacht werden, der angefochtene Entscheid beruhe auf einer Verletzung von Bundesrecht mit Einschluss von Staatsverträgen des Bundes; wegen Verletzung verfassungsmässiger Rechte des Bürgers bleibt die staatsrechtliche Beschwerde vorbehalten ( BGE 114 III 89 E. 2a; BGE 107 III 12 E. 1). Soweit im vorliegenden Verfahren die Verletzung des Willkürverbotes, des Verbotes des überspitzten Formalismus, des rechtlichen Gehörs und des Grundrechtes der persönlichen Freiheit geltend gemacht wird, ist auf die entsprechenden Vorbringen nicht einzutreten.</w:t>
      </w:r>
    </w:p>
    <w:p>
      <w:r>
        <w:rPr>
          <w:b/>
        </w:rPr>
        <w:t>E. 3</w:t>
      </w:r>
    </w:p>
    <w:p>
      <w:r>
        <w:t>Anlass zum Rekurs gibt die Berechnung des Existenzminimums, soweit der Betreibungsbeamte dabei die monatlichen Auslagen von Fr. 891.-- für den Besuch der Rudolf-Steiner-Schule durch zwei Kinder des Schuldners nicht und seine Wohnkosten nur mit Fr. 2'500.-- statt mit Fr. 4'311.-- berücksichtigt hat. a) Einkünfte können nur soweit gepfändet werden, als sie nicht nach dem Ermessen des Betreibungsbeamten für den Schuldner und seine Familie unumgänglich notwendig sind ( Art. 93 SchKG ). Das Gesetz behandelt den Schuldner damit nicht als Einzelperson, sondern nimmt Rücksicht auf dessen Zugehörigkeit zur Familie als wirtschaftliche Gemeinschaft (LÜCHINGER, Begriff und Bedeutung der Familie im schweizerischen Recht, Diss. Zürich 1987, S. 257). Die von den kantonalen Aufsichtsbehörden erlassenen Weisungen zur Berechnung des Existenzminimums (für den Kanton Basel-Stadt in BJM 1992, S. 139 ff.) richten daher den Grundbetrag nach der familiären Wohnsituation aus, sehen für den Unterhalt von Kindern altersmässig abgestufte Unterhaltszuschläge vor und berücksichtigen auch besondere Auslagen für die Ausbildung von Kindern wie öffentliche Verkehrsmittel und Schulmaterial. Nicht vorgesehen sind BGE 119 III 70 S. 73 hingegen Schulgelder, die durch den Besuch von entgeltlichen Lehranstalten anfallen. b) Ob der Rekurrent und seine Ehefrau der Unterhalts- und Erziehungspflicht gegenüber ihren unmündigen Kindern ( Art. 302 Abs. 1 und Art. 276 Abs. 1 ZGB ) durch die Unterbringung in einer entgeltlichen Privatschule nachkommen möchten, steht ihnen selbstverständlich frei. Bei der Berechnung des Existenzminimums ist allerdings der tatsächliche, objektive Notbedarf des Schuldners und seiner Familie, nicht etwa der standesgemässe oder gar gewohnte Lebensaufwand zu berücksichtigen (AMONN, Grundriss des Schuldbetreibungs- und Konkursrechts, 5. A. Bern 1993, S. 185 N 54). Nur so ist es nämlich möglich, sowohl den Interessen des Schuldners wie des Gläubigers Rechnung zu tragen ( BGE 116 III 21 E. 2d). Dass den zwei Kindern des Rekurrenten der Besuch einer unentgeltlichen, staatlichen Schule nicht möglich wäre oder sie nur in der Rudolf-Steiner-Schule den ihrem Alter und ihren Fähigkeiten entsprechenden Unterricht erhalten können, hat die Aufsichtsbehörde nicht festgestellt. Der Rekurrent seinerseits beschränkt sich darauf, seine Absicht darzulegen, diese beiden Kinder in der anthroposophischen Lebensweise erziehen zu wollen. Die kantonale Aufsichtsbehörde hat somit Bundesrecht nicht verletzt, als sie die monatlichen Schulkosten von Fr. 891.-- bei der Berechnung des Existenzminimums nicht berücksichtigte. Den Interessen des Rekurrenten ist sie gerecht geworden, indem sie ihm diese Auslagen immerhin bis Ende des Schuljahres zugestand. Es steht ihm auf diese Weise frei, auf Beginn des neuen Schuljahres seine Kinder allenfalls auf eine staatliche Schule zu schicken oder sich bei der Rudolf-Steiner-Schule um eine Anpassung des Schulgeldes zu bemühen. c) Der Grundsatz, dass der von der Lohnpfändung betroffene Schuldner seine Lebenshaltung einschränken und mit dem ihm zugestandenen Existenzminimum auskommen muss, gilt auch in bezug auf die Wohnkosten. Die hier effektiv anfallenden Auslagen können nur vollumfänglich berücksichtigt werden, wenn sie der familiären Situation des Schuldners und den ortsüblichen Ansätzen entsprechen. Ob es sich dabei um Aufwendungen für eine Mietwohnung oder für ein Eigenheim handelt, spielt grundsätzlich keine Rolle. In beiden Fällen ist dem Schuldner die Möglichkeit zu geben, seine Wohnkosten innert einer angemessenen Frist den für die Berechnung des Notbedarfs massgebenden Verhältnissen anzupassen ( BGE 116 III 21 E. 2d). BGE 119 III 70 S. 74 d) Was der Rekurrent in bezug auf seine Wohnkosten vorbringt, ist nicht geeignet, der kantonalen Aufsichtsbehörde eine Verletzung von Bundesrecht nachzuweisen. Das dem Betreibungsamt bei der Berechnung des Existenzminimums zustehende Ermessen ist durch die Festsetzung der monatlichen Wohnkosten auf Fr. 2'500.-- im vorliegenden Falle weder überschritten noch missbraucht worden. Hingegen hat der Betreibungsbeamte dem Rekurrenten keine Möglichkeit gelassen, die zur Senkung seiner Wohnkosten nötigen Vorkehren zu treffen. Die Sache ist daher an die Aufsichtsbehörde über das Betreibungs- und Konkursamt des Kantons Basel-Stadt zurückzuweisen, damit sie den dem Rekurrenten für die Anpassung seiner Wohnverhältnisse angemessenen Zeitraum zugestehe und in einem neuen Entscheid festhalte, bis zu welchem Zeitpunkt die effektiven Wohnkosten in das Existenzminimum aufzunehmen sind und wie hoch anschliessend die pfändbare Quote ausfällt (Art. 64 Abs. 1 in Verbindung mit Art. 81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